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98E22" w14:textId="77777777" w:rsidR="00B153F3" w:rsidRPr="008B5F09" w:rsidRDefault="00380915" w:rsidP="008B5F09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38524924"/>
      <w:r w:rsidRPr="008B5F0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ARiMR: </w:t>
      </w:r>
      <w:r w:rsidR="00B153F3" w:rsidRPr="008B5F0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Wydłużone terminy </w:t>
      </w:r>
      <w:r w:rsidRPr="008B5F09">
        <w:rPr>
          <w:rFonts w:eastAsia="Times New Roman" w:cstheme="minorHAnsi"/>
          <w:b/>
          <w:bCs/>
          <w:sz w:val="24"/>
          <w:szCs w:val="24"/>
          <w:lang w:eastAsia="pl-PL"/>
        </w:rPr>
        <w:t>naborów</w:t>
      </w:r>
      <w:r w:rsidR="00D535F2" w:rsidRPr="008B5F0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8B5F09">
        <w:rPr>
          <w:rFonts w:eastAsia="Times New Roman" w:cstheme="minorHAnsi"/>
          <w:b/>
          <w:bCs/>
          <w:sz w:val="24"/>
          <w:szCs w:val="24"/>
          <w:lang w:eastAsia="pl-PL"/>
        </w:rPr>
        <w:t>z PROW 2014-2020</w:t>
      </w:r>
    </w:p>
    <w:p w14:paraId="4F3E7BD4" w14:textId="77777777" w:rsidR="00B153F3" w:rsidRPr="008B5F09" w:rsidRDefault="00B153F3" w:rsidP="008B5F09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B5F09">
        <w:rPr>
          <w:rFonts w:eastAsia="Times New Roman" w:cstheme="minorHAnsi"/>
          <w:b/>
          <w:bCs/>
          <w:sz w:val="24"/>
          <w:szCs w:val="24"/>
          <w:lang w:eastAsia="pl-PL"/>
        </w:rPr>
        <w:t>Agencja Restrukturyzacji i Modernizacji Rolnictwa</w:t>
      </w:r>
      <w:r w:rsidR="00BA7585" w:rsidRPr="008B5F09">
        <w:rPr>
          <w:rFonts w:eastAsia="Times New Roman" w:cstheme="minorHAnsi"/>
          <w:b/>
          <w:bCs/>
          <w:sz w:val="24"/>
          <w:szCs w:val="24"/>
          <w:lang w:eastAsia="pl-PL"/>
        </w:rPr>
        <w:t>,</w:t>
      </w:r>
      <w:r w:rsidR="008B5F0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 powodu utrudnień związanych</w:t>
      </w:r>
      <w:r w:rsidR="008B5F09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8B5F0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 pandemią </w:t>
      </w:r>
      <w:proofErr w:type="spellStart"/>
      <w:r w:rsidR="00BA7585" w:rsidRPr="008B5F09">
        <w:rPr>
          <w:rFonts w:eastAsia="Times New Roman" w:cstheme="minorHAnsi"/>
          <w:b/>
          <w:bCs/>
          <w:sz w:val="24"/>
          <w:szCs w:val="24"/>
          <w:lang w:eastAsia="pl-PL"/>
        </w:rPr>
        <w:t>korona</w:t>
      </w:r>
      <w:r w:rsidRPr="008B5F09">
        <w:rPr>
          <w:rFonts w:eastAsia="Times New Roman" w:cstheme="minorHAnsi"/>
          <w:b/>
          <w:bCs/>
          <w:sz w:val="24"/>
          <w:szCs w:val="24"/>
          <w:lang w:eastAsia="pl-PL"/>
        </w:rPr>
        <w:t>wirusa</w:t>
      </w:r>
      <w:proofErr w:type="spellEnd"/>
      <w:r w:rsidR="00BA7585" w:rsidRPr="008B5F0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wydłużyła </w:t>
      </w:r>
      <w:r w:rsidRPr="008B5F09">
        <w:rPr>
          <w:rFonts w:eastAsia="Times New Roman" w:cstheme="minorHAnsi"/>
          <w:b/>
          <w:bCs/>
          <w:sz w:val="24"/>
          <w:szCs w:val="24"/>
          <w:lang w:eastAsia="pl-PL"/>
        </w:rPr>
        <w:t>termin</w:t>
      </w:r>
      <w:r w:rsidR="00BA7585" w:rsidRPr="008B5F0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y naborów </w:t>
      </w:r>
      <w:r w:rsidRPr="008B5F0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wniosków </w:t>
      </w:r>
      <w:r w:rsidR="008B5F09">
        <w:rPr>
          <w:rFonts w:eastAsia="Times New Roman" w:cstheme="minorHAnsi"/>
          <w:b/>
          <w:bCs/>
          <w:sz w:val="24"/>
          <w:szCs w:val="24"/>
          <w:lang w:eastAsia="pl-PL"/>
        </w:rPr>
        <w:t>o przyznanie pomocy</w:t>
      </w:r>
      <w:r w:rsidR="008B5F09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="00BA7585" w:rsidRPr="008B5F09">
        <w:rPr>
          <w:rFonts w:eastAsia="Times New Roman" w:cstheme="minorHAnsi"/>
          <w:b/>
          <w:bCs/>
          <w:sz w:val="24"/>
          <w:szCs w:val="24"/>
          <w:lang w:eastAsia="pl-PL"/>
        </w:rPr>
        <w:t>z PROW 2014-2020 na inwestycje chroniące</w:t>
      </w:r>
      <w:r w:rsidRPr="008B5F0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przed ASF lub powodzią</w:t>
      </w:r>
      <w:r w:rsidR="008B5F09">
        <w:rPr>
          <w:rFonts w:eastAsia="Times New Roman" w:cstheme="minorHAnsi"/>
          <w:b/>
          <w:bCs/>
          <w:sz w:val="24"/>
          <w:szCs w:val="24"/>
          <w:lang w:eastAsia="pl-PL"/>
        </w:rPr>
        <w:t>, a także</w:t>
      </w:r>
      <w:r w:rsidR="008B5F09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="00BA7585" w:rsidRPr="008B5F09">
        <w:rPr>
          <w:rFonts w:eastAsia="Times New Roman" w:cstheme="minorHAnsi"/>
          <w:b/>
          <w:bCs/>
          <w:sz w:val="24"/>
          <w:szCs w:val="24"/>
          <w:lang w:eastAsia="pl-PL"/>
        </w:rPr>
        <w:t>w nawadnianie gospodarstw.</w:t>
      </w:r>
    </w:p>
    <w:p w14:paraId="2B2146D0" w14:textId="77777777" w:rsidR="00B82254" w:rsidRPr="008B5F09" w:rsidRDefault="00B82254" w:rsidP="008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5F09">
        <w:rPr>
          <w:rFonts w:eastAsia="Times New Roman" w:cstheme="minorHAnsi"/>
          <w:b/>
          <w:bCs/>
          <w:sz w:val="24"/>
          <w:szCs w:val="24"/>
          <w:lang w:eastAsia="pl-PL"/>
        </w:rPr>
        <w:t>Do 17 czerwca 2020 r.</w:t>
      </w:r>
      <w:r w:rsidRPr="008B5F0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8B5F09">
        <w:rPr>
          <w:rFonts w:eastAsia="Times New Roman" w:cstheme="minorHAnsi"/>
          <w:sz w:val="24"/>
          <w:szCs w:val="24"/>
          <w:lang w:eastAsia="pl-PL"/>
        </w:rPr>
        <w:t xml:space="preserve">przedłużony został </w:t>
      </w:r>
      <w:r w:rsidR="00D535F2" w:rsidRPr="008B5F09">
        <w:rPr>
          <w:rFonts w:eastAsia="Times New Roman" w:cstheme="minorHAnsi"/>
          <w:sz w:val="24"/>
          <w:szCs w:val="24"/>
          <w:lang w:eastAsia="pl-PL"/>
        </w:rPr>
        <w:t>termin</w:t>
      </w:r>
      <w:r w:rsidRPr="008B5F09">
        <w:rPr>
          <w:rFonts w:eastAsia="Times New Roman" w:cstheme="minorHAnsi"/>
          <w:sz w:val="24"/>
          <w:szCs w:val="24"/>
          <w:lang w:eastAsia="pl-PL"/>
        </w:rPr>
        <w:t xml:space="preserve"> na </w:t>
      </w:r>
      <w:r w:rsidR="008B5F09">
        <w:rPr>
          <w:rFonts w:eastAsia="Times New Roman" w:cstheme="minorHAnsi"/>
          <w:sz w:val="24"/>
          <w:szCs w:val="24"/>
          <w:lang w:eastAsia="pl-PL"/>
        </w:rPr>
        <w:t xml:space="preserve">dostarczanie wniosków w ramach </w:t>
      </w:r>
      <w:r w:rsidRPr="008B5F09">
        <w:rPr>
          <w:rFonts w:eastAsia="Times New Roman" w:cstheme="minorHAnsi"/>
          <w:sz w:val="24"/>
          <w:szCs w:val="24"/>
          <w:lang w:eastAsia="pl-PL"/>
        </w:rPr>
        <w:t>poddziałania „</w:t>
      </w:r>
      <w:r w:rsidRPr="008B5F09">
        <w:rPr>
          <w:rFonts w:eastAsia="Times New Roman" w:cstheme="minorHAnsi"/>
          <w:bCs/>
          <w:sz w:val="24"/>
          <w:szCs w:val="24"/>
          <w:lang w:eastAsia="pl-PL"/>
        </w:rPr>
        <w:t>Wsparcie inwestycji w środki zapobiegawcze, których celem jest ograniczenie skutków prawdopodobnych klęsk żywiołowych, nieko</w:t>
      </w:r>
      <w:r w:rsidR="008B5F09">
        <w:rPr>
          <w:rFonts w:eastAsia="Times New Roman" w:cstheme="minorHAnsi"/>
          <w:bCs/>
          <w:sz w:val="24"/>
          <w:szCs w:val="24"/>
          <w:lang w:eastAsia="pl-PL"/>
        </w:rPr>
        <w:t>rzystnych zjawisk klimatycznych</w:t>
      </w:r>
      <w:r w:rsidR="008B5F09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8B5F09">
        <w:rPr>
          <w:rFonts w:eastAsia="Times New Roman" w:cstheme="minorHAnsi"/>
          <w:bCs/>
          <w:sz w:val="24"/>
          <w:szCs w:val="24"/>
          <w:lang w:eastAsia="pl-PL"/>
        </w:rPr>
        <w:t xml:space="preserve">i katastrof”. </w:t>
      </w:r>
      <w:r w:rsidRPr="008B5F09">
        <w:rPr>
          <w:rFonts w:eastAsia="Times New Roman" w:cstheme="minorHAnsi"/>
          <w:sz w:val="24"/>
          <w:szCs w:val="24"/>
          <w:lang w:eastAsia="pl-PL"/>
        </w:rPr>
        <w:t>Ta propozycja pomocy skierowan</w:t>
      </w:r>
      <w:r w:rsidR="008B5F09">
        <w:rPr>
          <w:rFonts w:eastAsia="Times New Roman" w:cstheme="minorHAnsi"/>
          <w:sz w:val="24"/>
          <w:szCs w:val="24"/>
          <w:lang w:eastAsia="pl-PL"/>
        </w:rPr>
        <w:t>a jest do dwóch grup odbiorców.</w:t>
      </w:r>
    </w:p>
    <w:p w14:paraId="36A66863" w14:textId="77777777" w:rsidR="00E12E49" w:rsidRPr="008B5F09" w:rsidRDefault="00B82254" w:rsidP="008B5F09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5F09">
        <w:rPr>
          <w:rFonts w:eastAsia="Times New Roman" w:cstheme="minorHAnsi"/>
          <w:sz w:val="24"/>
          <w:szCs w:val="24"/>
          <w:lang w:eastAsia="pl-PL"/>
        </w:rPr>
        <w:t xml:space="preserve">Pierwszą stanowią </w:t>
      </w:r>
      <w:r w:rsidRPr="008B5F09">
        <w:rPr>
          <w:rFonts w:eastAsia="Times New Roman" w:cstheme="minorHAnsi"/>
          <w:bCs/>
          <w:sz w:val="24"/>
          <w:szCs w:val="24"/>
          <w:lang w:eastAsia="pl-PL"/>
        </w:rPr>
        <w:t>rolnicy</w:t>
      </w:r>
      <w:r w:rsidRPr="008B5F09">
        <w:rPr>
          <w:rFonts w:eastAsia="Times New Roman" w:cstheme="minorHAnsi"/>
          <w:sz w:val="24"/>
          <w:szCs w:val="24"/>
          <w:lang w:eastAsia="pl-PL"/>
        </w:rPr>
        <w:t>, którzy zajmują się chowem lub hodowlą nie mniej niż 50 sztuk świń, i chcą zrealizować inwestycje chroniące ich gospodarstwa przed rozpr</w:t>
      </w:r>
      <w:r w:rsidR="00113076" w:rsidRPr="008B5F09">
        <w:rPr>
          <w:rFonts w:eastAsia="Times New Roman" w:cstheme="minorHAnsi"/>
          <w:sz w:val="24"/>
          <w:szCs w:val="24"/>
          <w:lang w:eastAsia="pl-PL"/>
        </w:rPr>
        <w:t>zestrzenianiem się wirusa ASF.</w:t>
      </w:r>
      <w:r w:rsidR="008B5F0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B5F09">
        <w:rPr>
          <w:rFonts w:eastAsia="Times New Roman" w:cstheme="minorHAnsi"/>
          <w:sz w:val="24"/>
          <w:szCs w:val="24"/>
          <w:lang w:eastAsia="pl-PL"/>
        </w:rPr>
        <w:t>Na tego typu przedsięwzięcia mogą otrzymać maksymalnie 100 tys. zł</w:t>
      </w:r>
      <w:r w:rsidR="008B5F09">
        <w:rPr>
          <w:rFonts w:eastAsia="Times New Roman" w:cstheme="minorHAnsi"/>
          <w:sz w:val="24"/>
          <w:szCs w:val="24"/>
          <w:lang w:eastAsia="pl-PL"/>
        </w:rPr>
        <w:t>, p</w:t>
      </w:r>
      <w:r w:rsidR="00E12E49" w:rsidRPr="008B5F09">
        <w:rPr>
          <w:rFonts w:cstheme="minorHAnsi"/>
          <w:sz w:val="24"/>
          <w:szCs w:val="24"/>
        </w:rPr>
        <w:t>rzy czym wysokość dofinansowania przyznanego przez ARiMR nie może przekroczyć 80 proc. kosztów kwalifikowanych zrealizowanej inwestycji</w:t>
      </w:r>
      <w:r w:rsidR="008B5F09">
        <w:rPr>
          <w:rFonts w:cstheme="minorHAnsi"/>
          <w:sz w:val="24"/>
          <w:szCs w:val="24"/>
        </w:rPr>
        <w:t>. Pomoc można otrzymać m.in. na</w:t>
      </w:r>
      <w:r w:rsidR="00E12E49" w:rsidRPr="008B5F09">
        <w:rPr>
          <w:rFonts w:cstheme="minorHAnsi"/>
          <w:sz w:val="24"/>
          <w:szCs w:val="24"/>
        </w:rPr>
        <w:t xml:space="preserve"> wykonanie ogrodzenia chlewni, utworzenie lub zmodernizowanie niecki dezynfekcyjnej, wyposażenie gospodarstwa w urządzenie do dezynfekcji. </w:t>
      </w:r>
    </w:p>
    <w:p w14:paraId="28FF7B1A" w14:textId="77777777" w:rsidR="00B82254" w:rsidRPr="008B5F09" w:rsidRDefault="00D535F2" w:rsidP="008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5F09">
        <w:rPr>
          <w:rFonts w:eastAsia="Times New Roman" w:cstheme="minorHAnsi"/>
          <w:sz w:val="24"/>
          <w:szCs w:val="24"/>
          <w:lang w:eastAsia="pl-PL"/>
        </w:rPr>
        <w:t>Drugą grupą, do której kierowane jest wsparcie</w:t>
      </w:r>
      <w:r w:rsidR="00B82254" w:rsidRPr="008B5F09">
        <w:rPr>
          <w:rFonts w:eastAsia="Times New Roman" w:cstheme="minorHAnsi"/>
          <w:sz w:val="24"/>
          <w:szCs w:val="24"/>
          <w:lang w:eastAsia="pl-PL"/>
        </w:rPr>
        <w:t xml:space="preserve">, są </w:t>
      </w:r>
      <w:r w:rsidR="00B82254" w:rsidRPr="008B5F09">
        <w:rPr>
          <w:rFonts w:eastAsia="Times New Roman" w:cstheme="minorHAnsi"/>
          <w:bCs/>
          <w:sz w:val="24"/>
          <w:szCs w:val="24"/>
          <w:lang w:eastAsia="pl-PL"/>
        </w:rPr>
        <w:t>spółki wodne lub związki spółek wodnych</w:t>
      </w:r>
      <w:r w:rsidR="00B82254" w:rsidRPr="008B5F09">
        <w:rPr>
          <w:rFonts w:eastAsia="Times New Roman" w:cstheme="minorHAnsi"/>
          <w:sz w:val="24"/>
          <w:szCs w:val="24"/>
          <w:lang w:eastAsia="pl-PL"/>
        </w:rPr>
        <w:t>, w których większość stanowią rolnicy posiadaj</w:t>
      </w:r>
      <w:r w:rsidR="008B5F09">
        <w:rPr>
          <w:rFonts w:eastAsia="Times New Roman" w:cstheme="minorHAnsi"/>
          <w:sz w:val="24"/>
          <w:szCs w:val="24"/>
          <w:lang w:eastAsia="pl-PL"/>
        </w:rPr>
        <w:t>ący grunty rolne. Na inwestycje</w:t>
      </w:r>
      <w:r w:rsidR="008B5F09">
        <w:rPr>
          <w:rFonts w:eastAsia="Times New Roman" w:cstheme="minorHAnsi"/>
          <w:sz w:val="24"/>
          <w:szCs w:val="24"/>
          <w:lang w:eastAsia="pl-PL"/>
        </w:rPr>
        <w:br/>
      </w:r>
      <w:r w:rsidR="00B82254" w:rsidRPr="008B5F09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FB31A5" w:rsidRPr="008B5F09">
        <w:rPr>
          <w:rFonts w:cstheme="minorHAnsi"/>
          <w:sz w:val="24"/>
          <w:szCs w:val="24"/>
        </w:rPr>
        <w:t>sprzęt do utrzymania urządzeń wodnych służących zabezpieczeniu gospodarstw rolnych przed zalaniem</w:t>
      </w:r>
      <w:r w:rsidR="006F0347" w:rsidRPr="008B5F09">
        <w:rPr>
          <w:rFonts w:eastAsia="Times New Roman" w:cstheme="minorHAnsi"/>
          <w:sz w:val="24"/>
          <w:szCs w:val="24"/>
          <w:lang w:eastAsia="pl-PL"/>
        </w:rPr>
        <w:t xml:space="preserve">, podtopieniem </w:t>
      </w:r>
      <w:r w:rsidR="00FB31A5" w:rsidRPr="008B5F09">
        <w:rPr>
          <w:rFonts w:cstheme="minorHAnsi"/>
          <w:sz w:val="24"/>
          <w:szCs w:val="24"/>
        </w:rPr>
        <w:t xml:space="preserve">lub nadmiernym </w:t>
      </w:r>
      <w:proofErr w:type="spellStart"/>
      <w:r w:rsidR="00FB31A5" w:rsidRPr="008B5F09">
        <w:rPr>
          <w:rFonts w:cstheme="minorHAnsi"/>
          <w:sz w:val="24"/>
          <w:szCs w:val="24"/>
        </w:rPr>
        <w:t>uwilgoceniem</w:t>
      </w:r>
      <w:proofErr w:type="spellEnd"/>
      <w:r w:rsidR="00FB31A5" w:rsidRPr="008B5F09">
        <w:rPr>
          <w:rFonts w:cstheme="minorHAnsi"/>
          <w:sz w:val="24"/>
          <w:szCs w:val="24"/>
        </w:rPr>
        <w:t xml:space="preserve"> spowodowanym przez powódź lub deszcz nawalny</w:t>
      </w:r>
      <w:r w:rsidR="006F0347" w:rsidRPr="008B5F09" w:rsidDel="006F034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82254" w:rsidRPr="008B5F09">
        <w:rPr>
          <w:rFonts w:eastAsia="Times New Roman" w:cstheme="minorHAnsi"/>
          <w:sz w:val="24"/>
          <w:szCs w:val="24"/>
          <w:lang w:eastAsia="pl-PL"/>
        </w:rPr>
        <w:t xml:space="preserve">mogą one otrzymać maksymalnie </w:t>
      </w:r>
      <w:r w:rsidR="00B82254" w:rsidRPr="008B5F09">
        <w:rPr>
          <w:rFonts w:eastAsia="Times New Roman" w:cstheme="minorHAnsi"/>
          <w:bCs/>
          <w:sz w:val="24"/>
          <w:szCs w:val="24"/>
          <w:lang w:eastAsia="pl-PL"/>
        </w:rPr>
        <w:t>1 mln zł</w:t>
      </w:r>
      <w:r w:rsidRPr="008B5F09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B82254" w:rsidRPr="008B5F09">
        <w:rPr>
          <w:rFonts w:eastAsia="Times New Roman" w:cstheme="minorHAnsi"/>
          <w:sz w:val="24"/>
          <w:szCs w:val="24"/>
          <w:lang w:eastAsia="pl-PL"/>
        </w:rPr>
        <w:t xml:space="preserve">Także w tym przypadku limit dofinansowania wynosi 80 proc. kosztów kwalifikowanych zrealizowanej inwestycji. </w:t>
      </w:r>
    </w:p>
    <w:p w14:paraId="6C2265D1" w14:textId="77777777" w:rsidR="00D535F2" w:rsidRPr="008B5F09" w:rsidRDefault="00D535F2" w:rsidP="008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B5F09">
        <w:rPr>
          <w:rFonts w:eastAsia="Times New Roman" w:cstheme="minorHAnsi"/>
          <w:sz w:val="24"/>
          <w:szCs w:val="24"/>
          <w:lang w:eastAsia="pl-PL"/>
        </w:rPr>
        <w:t xml:space="preserve">Z kolei rolnicy, którzy chcą ubiegać się w Agencji o </w:t>
      </w:r>
      <w:r w:rsidRPr="008B5F09">
        <w:rPr>
          <w:rFonts w:eastAsia="Times New Roman" w:cstheme="minorHAnsi"/>
          <w:bCs/>
          <w:sz w:val="24"/>
          <w:szCs w:val="24"/>
          <w:lang w:eastAsia="pl-PL"/>
        </w:rPr>
        <w:t xml:space="preserve">dotację na inwestycje w nawadnianie gospodarstwa, mają teraz na to czas </w:t>
      </w:r>
      <w:r w:rsidRPr="008B5F09">
        <w:rPr>
          <w:rFonts w:eastAsia="Times New Roman" w:cstheme="minorHAnsi"/>
          <w:b/>
          <w:bCs/>
          <w:sz w:val="24"/>
          <w:szCs w:val="24"/>
          <w:lang w:eastAsia="pl-PL"/>
        </w:rPr>
        <w:t>do 20 lipca 2020 r</w:t>
      </w:r>
      <w:r w:rsidR="008B5F09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7EA8E6CD" w14:textId="77777777" w:rsidR="00D535F2" w:rsidRPr="008B5F09" w:rsidRDefault="00D535F2" w:rsidP="008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5F09">
        <w:rPr>
          <w:rFonts w:eastAsia="Times New Roman" w:cstheme="minorHAnsi"/>
          <w:sz w:val="24"/>
          <w:szCs w:val="24"/>
          <w:lang w:eastAsia="pl-PL"/>
        </w:rPr>
        <w:t>O pomoc, która realizowana jest w ramach działania „Modernizacja gospodarstw rolnych”, może wystąpić rolnik posiadający gospodarstwo o powierzchni co najmniej 1 ha i nie większe niż 300 ha,</w:t>
      </w:r>
      <w:r w:rsidR="00AF439B" w:rsidRPr="008B5F09">
        <w:rPr>
          <w:rFonts w:eastAsia="Times New Roman" w:cstheme="minorHAnsi"/>
          <w:sz w:val="24"/>
          <w:szCs w:val="24"/>
          <w:lang w:eastAsia="pl-PL"/>
        </w:rPr>
        <w:t xml:space="preserve"> prowadzący działalność zarobkową w ramach </w:t>
      </w:r>
      <w:r w:rsidRPr="008B5F09">
        <w:rPr>
          <w:rFonts w:eastAsia="Times New Roman" w:cstheme="minorHAnsi"/>
          <w:sz w:val="24"/>
          <w:szCs w:val="24"/>
          <w:lang w:eastAsia="pl-PL"/>
        </w:rPr>
        <w:t>produkcji zwierzęcej lub roślinnej,</w:t>
      </w:r>
      <w:r w:rsidR="008B5F09">
        <w:rPr>
          <w:rFonts w:eastAsia="Times New Roman" w:cstheme="minorHAnsi"/>
          <w:sz w:val="24"/>
          <w:szCs w:val="24"/>
          <w:lang w:eastAsia="pl-PL"/>
        </w:rPr>
        <w:br/>
      </w:r>
      <w:r w:rsidRPr="008B5F09">
        <w:rPr>
          <w:rFonts w:eastAsia="Times New Roman" w:cstheme="minorHAnsi"/>
          <w:sz w:val="24"/>
          <w:szCs w:val="24"/>
          <w:lang w:eastAsia="pl-PL"/>
        </w:rPr>
        <w:t>o czym ma świadczyć wykazany przychód w wysokości co najmniej 5 tys. zł, odnotowany</w:t>
      </w:r>
      <w:r w:rsidR="008B5F09">
        <w:rPr>
          <w:rFonts w:eastAsia="Times New Roman" w:cstheme="minorHAnsi"/>
          <w:sz w:val="24"/>
          <w:szCs w:val="24"/>
          <w:lang w:eastAsia="pl-PL"/>
        </w:rPr>
        <w:br/>
      </w:r>
      <w:r w:rsidRPr="008B5F09">
        <w:rPr>
          <w:rFonts w:eastAsia="Times New Roman" w:cstheme="minorHAnsi"/>
          <w:sz w:val="24"/>
          <w:szCs w:val="24"/>
          <w:lang w:eastAsia="pl-PL"/>
        </w:rPr>
        <w:t xml:space="preserve">w okresie 12 miesięcy poprzedzających miesiąc złożenia wniosku. Konieczna jest także obecność w krajowym systemie ewidencji producentów, ewidencji gospodarstw rolnych oraz ewidencji wniosków o przyznanie płatności. </w:t>
      </w:r>
    </w:p>
    <w:p w14:paraId="30AB4B9F" w14:textId="77777777" w:rsidR="00D535F2" w:rsidRPr="008B5F09" w:rsidRDefault="00D535F2" w:rsidP="008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5F09">
        <w:rPr>
          <w:rFonts w:eastAsia="Times New Roman" w:cstheme="minorHAnsi"/>
          <w:sz w:val="24"/>
          <w:szCs w:val="24"/>
          <w:lang w:eastAsia="pl-PL"/>
        </w:rPr>
        <w:t xml:space="preserve">Dofinansowaniem z ARiMR mogą zostać objęte trzy kategorie inwestycji: ulepszające już istniejące instalacje nawadniające; powiększające obszar nawadniania; jednocześnie powiększające obszar nawadniania oraz ulepszające już istniejące instalacje. Wsparcie finansowe na jednego beneficjenta i jedno gospodarstwo </w:t>
      </w:r>
      <w:r w:rsidRPr="008B5F09">
        <w:rPr>
          <w:rFonts w:eastAsia="Times New Roman" w:cstheme="minorHAnsi"/>
          <w:bCs/>
          <w:sz w:val="24"/>
          <w:szCs w:val="24"/>
          <w:lang w:eastAsia="pl-PL"/>
        </w:rPr>
        <w:t xml:space="preserve">wynosi maksymalnie 100 tys. zł, </w:t>
      </w:r>
      <w:r w:rsidRPr="008B5F09">
        <w:rPr>
          <w:rFonts w:eastAsia="Times New Roman" w:cstheme="minorHAnsi"/>
          <w:sz w:val="24"/>
          <w:szCs w:val="24"/>
          <w:lang w:eastAsia="pl-PL"/>
        </w:rPr>
        <w:t>przy czym</w:t>
      </w:r>
      <w:r w:rsidRPr="008B5F09">
        <w:rPr>
          <w:rFonts w:eastAsia="Times New Roman" w:cstheme="minorHAnsi"/>
          <w:bCs/>
          <w:sz w:val="24"/>
          <w:szCs w:val="24"/>
          <w:lang w:eastAsia="pl-PL"/>
        </w:rPr>
        <w:t xml:space="preserve"> refundacji podlega 50 proc. kosztów ponies</w:t>
      </w:r>
      <w:r w:rsidR="008B5F09">
        <w:rPr>
          <w:rFonts w:eastAsia="Times New Roman" w:cstheme="minorHAnsi"/>
          <w:bCs/>
          <w:sz w:val="24"/>
          <w:szCs w:val="24"/>
          <w:lang w:eastAsia="pl-PL"/>
        </w:rPr>
        <w:t>ionych na realizację inwestycji</w:t>
      </w:r>
      <w:r w:rsidR="008B5F09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8B5F09">
        <w:rPr>
          <w:rFonts w:eastAsia="Times New Roman" w:cstheme="minorHAnsi"/>
          <w:bCs/>
          <w:sz w:val="24"/>
          <w:szCs w:val="24"/>
          <w:lang w:eastAsia="pl-PL"/>
        </w:rPr>
        <w:t>(60 proc. w przypadku młodego rolnika)</w:t>
      </w:r>
      <w:r w:rsidRPr="008B5F09">
        <w:rPr>
          <w:rFonts w:eastAsia="Times New Roman" w:cstheme="minorHAnsi"/>
          <w:sz w:val="24"/>
          <w:szCs w:val="24"/>
          <w:lang w:eastAsia="pl-PL"/>
        </w:rPr>
        <w:t>.</w:t>
      </w:r>
    </w:p>
    <w:p w14:paraId="3680E40F" w14:textId="77777777" w:rsidR="00324805" w:rsidRPr="008B5F09" w:rsidRDefault="0048746D" w:rsidP="008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5F09">
        <w:rPr>
          <w:rFonts w:eastAsia="Times New Roman" w:cstheme="minorHAnsi"/>
          <w:sz w:val="24"/>
          <w:szCs w:val="24"/>
          <w:lang w:eastAsia="pl-PL"/>
        </w:rPr>
        <w:t>W związku z ogłoszonym w Polsce stanem epidemii, która ograniczyła możliwość osobistego załatwiania spraw prze</w:t>
      </w:r>
      <w:r w:rsidR="008B5F09">
        <w:rPr>
          <w:rFonts w:eastAsia="Times New Roman" w:cstheme="minorHAnsi"/>
          <w:sz w:val="24"/>
          <w:szCs w:val="24"/>
          <w:lang w:eastAsia="pl-PL"/>
        </w:rPr>
        <w:t xml:space="preserve">z rolników w placówkach ARiMR, </w:t>
      </w:r>
      <w:r w:rsidRPr="008B5F09">
        <w:rPr>
          <w:rFonts w:eastAsia="Times New Roman" w:cstheme="minorHAnsi"/>
          <w:b/>
          <w:sz w:val="24"/>
          <w:szCs w:val="24"/>
          <w:lang w:eastAsia="pl-PL"/>
        </w:rPr>
        <w:t xml:space="preserve">wnioski w obu naborach można </w:t>
      </w:r>
      <w:r w:rsidR="00380915" w:rsidRPr="008B5F09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przekazać </w:t>
      </w:r>
      <w:r w:rsidRPr="008B5F09">
        <w:rPr>
          <w:rFonts w:eastAsia="Times New Roman" w:cstheme="minorHAnsi"/>
          <w:b/>
          <w:sz w:val="24"/>
          <w:szCs w:val="24"/>
          <w:lang w:eastAsia="pl-PL"/>
        </w:rPr>
        <w:t>do oddziałów regionalnych w następujący sposób</w:t>
      </w:r>
      <w:r w:rsidRPr="008B5F09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380915" w:rsidRPr="008B5F09">
        <w:rPr>
          <w:rFonts w:eastAsia="Times New Roman" w:cstheme="minorHAnsi"/>
          <w:sz w:val="24"/>
          <w:szCs w:val="24"/>
          <w:lang w:eastAsia="pl-PL"/>
        </w:rPr>
        <w:t>w formie dokumentu elektronicznego na elektroniczną skrzynkę podawczą, z</w:t>
      </w:r>
      <w:r w:rsidR="00324805" w:rsidRPr="008B5F09">
        <w:rPr>
          <w:rFonts w:eastAsia="Times New Roman" w:cstheme="minorHAnsi"/>
          <w:sz w:val="24"/>
          <w:szCs w:val="24"/>
          <w:lang w:eastAsia="pl-PL"/>
        </w:rPr>
        <w:t xml:space="preserve">a pośrednictwem platformy </w:t>
      </w:r>
      <w:proofErr w:type="spellStart"/>
      <w:r w:rsidR="00324805" w:rsidRPr="008B5F09">
        <w:rPr>
          <w:rFonts w:eastAsia="Times New Roman" w:cstheme="minorHAnsi"/>
          <w:sz w:val="24"/>
          <w:szCs w:val="24"/>
          <w:lang w:eastAsia="pl-PL"/>
        </w:rPr>
        <w:t>ePUAP</w:t>
      </w:r>
      <w:proofErr w:type="spellEnd"/>
      <w:r w:rsidR="00380915" w:rsidRPr="008B5F09">
        <w:rPr>
          <w:rFonts w:eastAsia="Times New Roman" w:cstheme="minorHAnsi"/>
          <w:sz w:val="24"/>
          <w:szCs w:val="24"/>
          <w:lang w:eastAsia="pl-PL"/>
        </w:rPr>
        <w:t xml:space="preserve"> lub </w:t>
      </w:r>
      <w:r w:rsidR="00324805" w:rsidRPr="008B5F09">
        <w:rPr>
          <w:rFonts w:eastAsia="Times New Roman" w:cstheme="minorHAnsi"/>
          <w:sz w:val="24"/>
          <w:szCs w:val="24"/>
          <w:lang w:eastAsia="pl-PL"/>
        </w:rPr>
        <w:t xml:space="preserve">pocztą tradycyjną. </w:t>
      </w:r>
      <w:r w:rsidR="00380915" w:rsidRPr="008B5F09">
        <w:rPr>
          <w:rFonts w:eastAsia="Times New Roman" w:cstheme="minorHAnsi"/>
          <w:sz w:val="24"/>
          <w:szCs w:val="24"/>
          <w:lang w:eastAsia="pl-PL"/>
        </w:rPr>
        <w:t xml:space="preserve">Wnioski można </w:t>
      </w:r>
      <w:r w:rsidR="00324805" w:rsidRPr="008B5F09">
        <w:rPr>
          <w:rFonts w:eastAsia="Times New Roman" w:cstheme="minorHAnsi"/>
          <w:sz w:val="24"/>
          <w:szCs w:val="24"/>
          <w:lang w:eastAsia="pl-PL"/>
        </w:rPr>
        <w:t xml:space="preserve">również dostarczyć do </w:t>
      </w:r>
      <w:r w:rsidR="00380915" w:rsidRPr="008B5F09">
        <w:rPr>
          <w:rFonts w:eastAsia="Times New Roman" w:cstheme="minorHAnsi"/>
          <w:sz w:val="24"/>
          <w:szCs w:val="24"/>
          <w:lang w:eastAsia="pl-PL"/>
        </w:rPr>
        <w:t xml:space="preserve">specjalnych </w:t>
      </w:r>
      <w:proofErr w:type="spellStart"/>
      <w:r w:rsidR="00324805" w:rsidRPr="008B5F09">
        <w:rPr>
          <w:rFonts w:eastAsia="Times New Roman" w:cstheme="minorHAnsi"/>
          <w:sz w:val="24"/>
          <w:szCs w:val="24"/>
          <w:lang w:eastAsia="pl-PL"/>
        </w:rPr>
        <w:t>wrzutni</w:t>
      </w:r>
      <w:proofErr w:type="spellEnd"/>
      <w:r w:rsidR="00324805" w:rsidRPr="008B5F09">
        <w:rPr>
          <w:rFonts w:eastAsia="Times New Roman" w:cstheme="minorHAnsi"/>
          <w:sz w:val="24"/>
          <w:szCs w:val="24"/>
          <w:lang w:eastAsia="pl-PL"/>
        </w:rPr>
        <w:t xml:space="preserve">, które </w:t>
      </w:r>
      <w:r w:rsidR="00380915" w:rsidRPr="008B5F09">
        <w:rPr>
          <w:rFonts w:eastAsia="Times New Roman" w:cstheme="minorHAnsi"/>
          <w:sz w:val="24"/>
          <w:szCs w:val="24"/>
          <w:lang w:eastAsia="pl-PL"/>
        </w:rPr>
        <w:t xml:space="preserve">ustawione są </w:t>
      </w:r>
      <w:r w:rsidR="00324805" w:rsidRPr="008B5F09">
        <w:rPr>
          <w:rFonts w:eastAsia="Times New Roman" w:cstheme="minorHAnsi"/>
          <w:sz w:val="24"/>
          <w:szCs w:val="24"/>
          <w:lang w:eastAsia="pl-PL"/>
        </w:rPr>
        <w:t xml:space="preserve">w placówkach terenowych Agencji. </w:t>
      </w:r>
    </w:p>
    <w:p w14:paraId="09B9F05D" w14:textId="77777777" w:rsidR="006072AA" w:rsidRDefault="00380915" w:rsidP="008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B5F09">
        <w:rPr>
          <w:rFonts w:eastAsia="Times New Roman" w:cstheme="minorHAnsi"/>
          <w:b/>
          <w:sz w:val="24"/>
          <w:szCs w:val="24"/>
          <w:lang w:eastAsia="pl-PL"/>
        </w:rPr>
        <w:t xml:space="preserve">Więcej informacji: </w:t>
      </w:r>
      <w:hyperlink r:id="rId5" w:history="1">
        <w:r w:rsidR="00EA4CD2" w:rsidRPr="000028DE">
          <w:rPr>
            <w:rStyle w:val="Hipercze"/>
            <w:rFonts w:eastAsia="Times New Roman" w:cstheme="minorHAnsi"/>
            <w:b/>
            <w:sz w:val="24"/>
            <w:szCs w:val="24"/>
            <w:lang w:eastAsia="pl-PL"/>
          </w:rPr>
          <w:t>www.arimr.gov.pl</w:t>
        </w:r>
      </w:hyperlink>
      <w:bookmarkEnd w:id="0"/>
    </w:p>
    <w:p w14:paraId="3D46DC41" w14:textId="77777777" w:rsidR="00EA4CD2" w:rsidRPr="00EA4CD2" w:rsidRDefault="00EA4CD2" w:rsidP="008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62626" w:themeColor="text1" w:themeTint="D9"/>
          <w:szCs w:val="24"/>
          <w:lang w:eastAsia="pl-PL"/>
        </w:rPr>
      </w:pPr>
      <w:r w:rsidRPr="00EA4CD2">
        <w:rPr>
          <w:rFonts w:eastAsia="Times New Roman" w:cstheme="minorHAnsi"/>
          <w:color w:val="262626" w:themeColor="text1" w:themeTint="D9"/>
          <w:szCs w:val="24"/>
          <w:lang w:eastAsia="pl-PL"/>
        </w:rPr>
        <w:t>Biuro Prasowe ARiMR</w:t>
      </w:r>
    </w:p>
    <w:sectPr w:rsidR="00EA4CD2" w:rsidRPr="00EA4CD2" w:rsidSect="00607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12CDB"/>
    <w:multiLevelType w:val="multilevel"/>
    <w:tmpl w:val="8FD2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B667E8"/>
    <w:multiLevelType w:val="multilevel"/>
    <w:tmpl w:val="2558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7643B3"/>
    <w:multiLevelType w:val="hybridMultilevel"/>
    <w:tmpl w:val="76309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F3"/>
    <w:rsid w:val="00113076"/>
    <w:rsid w:val="00324805"/>
    <w:rsid w:val="00380915"/>
    <w:rsid w:val="0048746D"/>
    <w:rsid w:val="006072AA"/>
    <w:rsid w:val="006F0347"/>
    <w:rsid w:val="00844204"/>
    <w:rsid w:val="008B5F09"/>
    <w:rsid w:val="00AF439B"/>
    <w:rsid w:val="00B153F3"/>
    <w:rsid w:val="00B82254"/>
    <w:rsid w:val="00BA7585"/>
    <w:rsid w:val="00D535F2"/>
    <w:rsid w:val="00DB5E57"/>
    <w:rsid w:val="00E12E49"/>
    <w:rsid w:val="00E619F6"/>
    <w:rsid w:val="00EA4CD2"/>
    <w:rsid w:val="00FB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865C"/>
  <w15:docId w15:val="{B2ACAD40-1146-48BF-BF38-8BF64971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3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48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0347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im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Ewa Zielak</cp:lastModifiedBy>
  <cp:revision>3</cp:revision>
  <dcterms:created xsi:type="dcterms:W3CDTF">2020-04-24T06:09:00Z</dcterms:created>
  <dcterms:modified xsi:type="dcterms:W3CDTF">2020-04-24T06:10:00Z</dcterms:modified>
</cp:coreProperties>
</file>